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F509FF7" w:rsidR="00C802E0" w:rsidRPr="0025014C" w:rsidRDefault="00000000" w:rsidP="0025014C">
      <w:pPr>
        <w:rPr>
          <w:rFonts w:ascii="DecimaWE Rg" w:eastAsia="Times New Roman" w:hAnsi="DecimaWE Rg" w:cs="Times New Roman"/>
          <w:sz w:val="24"/>
          <w:szCs w:val="24"/>
        </w:rPr>
      </w:pPr>
      <w:r w:rsidRPr="0025014C">
        <w:rPr>
          <w:rFonts w:ascii="DecimaWE Rg" w:eastAsia="Times New Roman" w:hAnsi="DecimaWE Rg" w:cs="Times New Roman"/>
          <w:sz w:val="24"/>
          <w:szCs w:val="24"/>
        </w:rPr>
        <w:t>Egregio President</w:t>
      </w:r>
      <w:r w:rsidR="0025014C" w:rsidRPr="0025014C">
        <w:rPr>
          <w:rFonts w:ascii="DecimaWE Rg" w:eastAsia="Times New Roman" w:hAnsi="DecimaWE Rg" w:cs="Times New Roman"/>
          <w:sz w:val="24"/>
          <w:szCs w:val="24"/>
        </w:rPr>
        <w:t>e,</w:t>
      </w:r>
      <w:r w:rsidRPr="0025014C">
        <w:rPr>
          <w:rFonts w:ascii="DecimaWE Rg" w:eastAsia="Times New Roman" w:hAnsi="DecimaWE Rg" w:cs="Times New Roman"/>
          <w:sz w:val="24"/>
          <w:szCs w:val="24"/>
        </w:rPr>
        <w:br/>
        <w:t>Gentili Colleghe e Colleghi,</w:t>
      </w:r>
    </w:p>
    <w:p w14:paraId="00000002"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il Disegno di Legge n. 93 si colloca in un momento politico e istituzionale decisamente particolare. Siamo infatti arrivati all’ultima parte della seconda legislatura guidata dall’attuale maggioranza, con un’incertezza crescente rispetto alla durata della stessa e alle evoluzioni dei suoi equilibri. Un contesto che determina delle conseguenze significative sulle scelte, o sull’assenza di scelte, necessarie per approfittare al meglio delle risorse economiche e finanziarie oggi largamente disponibili. </w:t>
      </w:r>
    </w:p>
    <w:p w14:paraId="00000003"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Il quadro tracciato dalla parte iniziale del DEFR, soprattutto rispetto ai dati sulla crescita del PIL, sulla spesa per consumi delle famiglie e degli investimenti fissi lordi in rapporto ai dati statali, impone una riflessione approfondita e l’elaborazione di una strategia di azione che non possono essere eluse: nonostante la mole ingente di investimenti pubblici stanziati negli ultimi anni, con uno sforzo riconosciuto anche dal rapporto della Banca d’Italia presentato lo scorso mese di giugno, i dati sulla crescita dell’economia regionale non sono affatto confortanti. </w:t>
      </w:r>
    </w:p>
    <w:p w14:paraId="00000004"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Pur riconoscendo che una mera analisi quantitativa non costituisce l’unico indicatore da utilizzare e che il paradigma della crescita non rappresenta il parametro fondamentale di un’analisi economica e sociale pienamente consapevole, i dati offerti alla nostra attenzione dal DEFR pongono una serie di interrogativi decisamente importanti. </w:t>
      </w:r>
    </w:p>
    <w:p w14:paraId="00000005"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Il primo non può che essere questo: il modo in cui l’Amministrazione regionale ha utilizzato le proprie disponibilità economiche dell’ultimo triennio è stato efficace? </w:t>
      </w:r>
    </w:p>
    <w:p w14:paraId="00000006" w14:textId="18A7E364"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Sono stati fatti degli investimenti che hanno spinto in modo deciso i sistemi economici e sociali del Friuli-Venezia Giulia verso una maggiore capacità di adattamento e contrasto alle diverse crisi che </w:t>
      </w:r>
      <w:r w:rsidR="00297BA0">
        <w:rPr>
          <w:rFonts w:ascii="DecimaWE Rg" w:eastAsia="Times New Roman" w:hAnsi="DecimaWE Rg" w:cs="Times New Roman"/>
          <w:sz w:val="24"/>
          <w:szCs w:val="24"/>
        </w:rPr>
        <w:t xml:space="preserve">la nostra Regione </w:t>
      </w:r>
      <w:r w:rsidRPr="0025014C">
        <w:rPr>
          <w:rFonts w:ascii="DecimaWE Rg" w:eastAsia="Times New Roman" w:hAnsi="DecimaWE Rg" w:cs="Times New Roman"/>
          <w:sz w:val="24"/>
          <w:szCs w:val="24"/>
        </w:rPr>
        <w:t>si trova di fronte e, soprattutto, a quelle che dovrà affrontare in futuro?</w:t>
      </w:r>
    </w:p>
    <w:p w14:paraId="00000007"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Le risposte a questi quesiti indubbiamente sono molteplici. </w:t>
      </w:r>
    </w:p>
    <w:p w14:paraId="00000008"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Ci sono alcuni ambiti rispetto ai quali le risorse messe a disposizione dall’Amministrazione regionale vanno nella direzione giusta. Pensiamo, a titolo di esempio, alle centinaia di milioni di euro destinati a famiglie e imprese per l’installazione di pannelli fotovoltaici su abitazioni e strutture industriali. Una misura importante che, seppur con aspetti decisamente migliorabili, ha permesso di spingere verso la transizione energetica e contrastare le speculazioni dei mercati energetici ostaggio delle fonti fossili. </w:t>
      </w:r>
    </w:p>
    <w:p w14:paraId="00000009"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In questo senso ci sembra difficilmente comprensibile la recente decisione della Giunta di limitare questi investimenti, pur comprendendo la necessità di riformulare la distribuzione delle risorse. </w:t>
      </w:r>
    </w:p>
    <w:p w14:paraId="0000000A"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Per molti altri versi ci sembra invece che le scelte dell’Amministrazione regionale siano riconducibili a dinamiche che poco hanno a che fare con una visione lungimirante e strategica e molto invece con logiche legate alla gestione del consenso. </w:t>
      </w:r>
    </w:p>
    <w:p w14:paraId="0000000B"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Gli esempi potrebbero essere molti e diversi di essi possono essere riscontrati anche nella norma in discussione, sia nelle poste già destinate ai diversi capitoli, sia in quelle che al momento in cui stiamo predisponendo questa relazione sono ancora da destinare.  </w:t>
      </w:r>
    </w:p>
    <w:p w14:paraId="0000000C"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Rileviamo infatti che a fronte di oltre 600 milioni di euro già iscritti, ne rimangono ancora diverse centinaia da iscrivere.  </w:t>
      </w:r>
    </w:p>
    <w:p w14:paraId="0000000D"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lastRenderedPageBreak/>
        <w:t xml:space="preserve">Proseguono quindi gli stanziamenti a beneficio dei settori produttivi, sia irrobustendo le linee di garanzie e contribuzioni integrative per l’accesso al credito, sia con poste mirate a singoli ambiti, come quello del Consorzio per il Nucleo di Industrializzazione della Provincia di Pordenone o dell’Interporto di Pordenone. Già durante i lavori della I Commissione integrata abbiamo posto il tema di alcune lacune importanti, come quella del Mercato Ortofrutticolo di Udine, che è in fase di positivo rinnovamento e viene invece inspiegabilmente penalizzato dalla Giunta regionale. Mercato che rappresenta un asset importante anche per lo sviluppo delle filiere agricole locali, che possono trovare in tale struttura uno snodo fondamentale per la distribuzione dei propri prodotti. </w:t>
      </w:r>
    </w:p>
    <w:p w14:paraId="0000000E"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In questo senso anche se le risorse messe a disposizione del comparto primario continuano ad essere cospicue e, parimenti, procede l’azione mirata di alcune progettualità positive come il Programma Valore Agricoltura, rimangono le criticità di un settore che subisce le dinamiche di un modello di agroindustria che male si adatta al territorio friulano. La strada della valorizzazione di produzioni basate su sostenibilità ambientale e identità locali è ancora in salita. Eppure il mondo agricolo dovrebbe essere uno dei protagonisti del cambiamento necessario rispetto all’attuale modello di sviluppo, anche in considerazione dei cambiamenti climatici che in questi giorni stanno palesando tutto il loro impatto. </w:t>
      </w:r>
    </w:p>
    <w:p w14:paraId="0000000F"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A tal proposito non possiamo che esprimere il nostro profondo stupore per le affermazioni recentemente rilasciate dall’Assessore Scoccimarro in occasione della presentazione del rapporto ARPA “Segnali dal Clima in FVG 2026”, quando ha polemizzato con uno dei massimi esperti del mondo accademico regionale in materia climatica e si è spinto ad affermare che siamo alla vigilia di una nuova era glaciale, che inizierà a palesarsi nei prossimi decenni. Affermazioni che contraddicono quanto ormai riconosciuto dall’intera comunità scientifica internazionale, e cioè che l’aumento della temperatura è di origine antropica e che, continuando a non intraprendere provvedimenti immediati per la riduzione delle emissioni climalteranti, avrà un impatto devastante sulla vita della specie umana e dell’intero pianeta. Una posizione quindi improponibile, che dovrebbe essere derubricata a chiacchiera da bar, se non fosse per il fatto che è la posizione dell’Assessore regionale all’ambiente, colui cioè che ha la responsabilità delle politiche e delle azioni amministrative che dovrebbero contrastare il cambiamento climatico e lavorare nella prospettiva di adattare il nostro territorio alle sue conseguenze.</w:t>
      </w:r>
    </w:p>
    <w:p w14:paraId="00000010"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L’assenza, certamente giustificata, dell’Assessore ai lavori della Commissione di merito ha impedito lo svolgimento di un dibattito che ci auguriamo possa svolgersi durante i lavori d’aula e comprendere una rettifica della posizione della Giunta e, auspicabilmente, le pubbliche scuse al rappresentante del mondo accademico presente alla presentazione del Rapporto dell’ARPA. </w:t>
      </w:r>
    </w:p>
    <w:p w14:paraId="00000011"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Nel merito dell’articolato e del DEFR, non possiamo che rilevare ancora una volta la sconsolante prevalenza del rimando ad azioni future per l’avvio di iniziative concrete rispetto alla Strategia e al Piano regionale di mitigazione e adattamento ai cambiamenti climatici</w:t>
      </w:r>
      <w:r w:rsidRPr="0025014C">
        <w:rPr>
          <w:rFonts w:ascii="DecimaWE Rg" w:eastAsia="Times New Roman" w:hAnsi="DecimaWE Rg" w:cs="Times New Roman"/>
          <w:color w:val="222222"/>
          <w:sz w:val="24"/>
          <w:szCs w:val="24"/>
        </w:rPr>
        <w:t xml:space="preserve">, previsti dalla stessa legge </w:t>
      </w:r>
      <w:proofErr w:type="spellStart"/>
      <w:r w:rsidRPr="0025014C">
        <w:rPr>
          <w:rFonts w:ascii="DecimaWE Rg" w:eastAsia="Times New Roman" w:hAnsi="DecimaWE Rg" w:cs="Times New Roman"/>
          <w:color w:val="222222"/>
          <w:sz w:val="24"/>
          <w:szCs w:val="24"/>
        </w:rPr>
        <w:t>FVGreen</w:t>
      </w:r>
      <w:proofErr w:type="spellEnd"/>
      <w:r w:rsidRPr="0025014C">
        <w:rPr>
          <w:rFonts w:ascii="DecimaWE Rg" w:eastAsia="Times New Roman" w:hAnsi="DecimaWE Rg" w:cs="Times New Roman"/>
          <w:sz w:val="24"/>
          <w:szCs w:val="24"/>
        </w:rPr>
        <w:t>.</w:t>
      </w:r>
    </w:p>
    <w:p w14:paraId="00000012"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Altro tema che non è stato approfondito e su cui sarà importante capire l’atteggiamento della Giunta è quello del percorso verso l’aggregazione dei soggetti che gestiscono la raccolta dei rifiuti e il servizio idrico integrato. Ci troviamo infatti in un momento cruciale, soprattutto rispetto alla gestione del servizio idrico integrato della Città di Trieste e dei Comuni del Carso. L’obiettivo di un unico soggetto pubblico regionale come strumento per una gestione pubblica, solidale, sostenibile e partecipata dell’acqua, ribadito anche da quest’aula all’unanimità con l’ordine del giorno n. 11, collegato al disegno di legge, n. 18 &lt;&lt;Disposizioni multisettoriali e di semplificazione&gt;&gt; e accolto dalla Giunta nella seduta n. 56 del 30 aprile 2024, deve essere il principio fondamentale che guida l’azione dell’Amministrazione regionale, anche stanziando le risorse necessarie al suo raggiungimento. Una partita sicuramente importante, che rappresenta però una delle scelte strategiche in grado di traguardare scenari futuri, al pari delle decisioni sui temi delle infrastrutture. </w:t>
      </w:r>
    </w:p>
    <w:p w14:paraId="00000013"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Prendiamo atto, infatti, che procede l’azione della Giunta regionale su alcuni ambiti importanti, ma non possiamo fare a meno di denunciare l’immobilismo su alcune poste che invece avrebbero bisogno di maggiore dinamismo, anche nei rapporti con i livelli istituzionali sovraordinati. </w:t>
      </w:r>
    </w:p>
    <w:p w14:paraId="00000014"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Un caso emblematico in questo senso è il Passo di Monte Croce Carnico, rispetto al quale le risposte pervenute dalla Giunta durante i lavori di commissione non sono state soddisfacenti. Abbiamo inteso che, in buona sostanza, dopo la tempestiva e positiva azione della Regione sulla sistemazione della viabilità esistente, il dossier è stato consegnato nelle mani di ANAS e che su questa opera si sta consumando l’ennesima puntata dello scontro interno alla maggioranza. Chi ci rimette sono le Comunità della Val del But e di tutta la Carnia, che rischiano di vedere l’ennesimo rinvio sine die di un progetto che invece è vitale per il loro futuro. </w:t>
      </w:r>
    </w:p>
    <w:p w14:paraId="00000015"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Sulle progettualità strategiche per i nodi infrastrutturali del Friuli-Venezia Giulia è in corso un dibattito interessante, che supera i confini del Consiglio regionale. Al netto delle valutazioni che evidentemente ciascuno può ritenere opportune su questi temi, un elemento che deve caratterizzare l’azione politica e amministrativa dell’Amministrazione regionale è la rivendicazione di maggiori spazi di autonomia nelle scelte che riguardano il nostro territorio. Una rivendicazione che trova fondamento non solo nelle prerogative statutarie, ma anche nella possibilità di contribuire finanziariamente e tecnicamente all’avvio di alcuni processi. Diversamente, il rischio che alcuni contesti regionali rimangano esclusi da interventi invece necessari, è piuttosto concreto. </w:t>
      </w:r>
    </w:p>
    <w:p w14:paraId="00000016"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Questa considerazione purtroppo vale anche per un settore che, forse più di altri, non dovrebbe avere nulla a che fare con discriminazioni territoriali o, peggio ancora, legate alle appartenenze politiche: quello della cultura. Un ambito che vede molte iniziative positive messe in cantiere dall’Amministrazione regionale, che ha assegnato risorse cospicue a impianti ed eventi sportivi e culturali, sostenendo in modo adeguato una parte significativa delle migliaia di realtà regionali impegnate quotidianamente per la realizzazione di progetti assolutamente meritori. </w:t>
      </w:r>
    </w:p>
    <w:p w14:paraId="00000017"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Purtroppo va tuttavia sottolineato anche in questa sede come faccia eccezione il trattamento che la Giunta regionale ha riservato alla Fondazione Teatro Nuovo Giovanni da Udine. Il taglio dei finanziamenti rispetto agli anni precedenti è palese e le motivazioni riportate in Commissione da parte dell’Assessore competente, oltre che le modalità con cui è intervenuto nel dibattito pubblico sul tema, sono discutibili. Ci auguriamo che durante i lavori d’aula si trovi il modo di porre rimedio a una situazione che non ha giustificazioni. </w:t>
      </w:r>
    </w:p>
    <w:p w14:paraId="00000018"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Arrivando alla parte di articolato relativa ai temi educativi, rileviamo che le conseguenze dei cambiamenti climatici di origine antropica che stanno comportando eventi estremi sempre più frequenti e impattanti, come le ondate di calore che in questi giorni stanno impattando sulla salute (è notizia di questi giorni l’uscita del report dell’OMS che stima 10.000 morti solo in Europa), si fa sentire anche sull’istruzione. Nelle scorse settimane, infatti, in Francia il corpo docente ha scioperato per le condizioni insostenibili in cui erano costretti a tenere gli esami. Una condizione che affligge anche le strutture dove si tengono i centri estivi e che in questo periodo sta mettendo a dura prova chi vi lavora e chi ne usufruisce. Su questo, proporremo di procedere ad adattare le strutture educative a questa nuova, ineludibile, realtà. Un intervento in tal senso potrebbe, tra l’altro, rendere le strutture adatte a ospitare anche nella nostra Regione una sperimentazione come quella avviata in altre Regioni italiane: riaprire le scuole primarie già da fine agosto, prima dell’avvio ufficiale dell’anno scolastico, con attività educative, sportive, culturali e creative organizzate dai Comuni e sostenute dalla Regione. Non si tratta di </w:t>
      </w:r>
      <w:proofErr w:type="spellStart"/>
      <w:r w:rsidRPr="0025014C">
        <w:rPr>
          <w:rFonts w:ascii="DecimaWE Rg" w:eastAsia="Times New Roman" w:hAnsi="DecimaWE Rg" w:cs="Times New Roman"/>
          <w:sz w:val="24"/>
          <w:szCs w:val="24"/>
        </w:rPr>
        <w:t>di</w:t>
      </w:r>
      <w:proofErr w:type="spellEnd"/>
      <w:r w:rsidRPr="0025014C">
        <w:rPr>
          <w:rFonts w:ascii="DecimaWE Rg" w:eastAsia="Times New Roman" w:hAnsi="DecimaWE Rg" w:cs="Times New Roman"/>
          <w:sz w:val="24"/>
          <w:szCs w:val="24"/>
        </w:rPr>
        <w:t xml:space="preserve"> modificare ufficialmente il calendario scolastico, ma di trasformare un periodo scoperto in un’opportunità di accompagnamento al nuovo anno con laboratori, momenti ricreativi, attività sportive, culturali e di socializzazione organizzati negli spazi scolastici, offrendo al contempo un servizio di welfare alle famiglie. </w:t>
      </w:r>
    </w:p>
    <w:p w14:paraId="00000019"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Passando al tema salute prosegue l’importante iniezione di risorse nel sistema sanitario regionale, anche nel campo dell’edilizia sanitaria, dove l’annosa questione dell’Ospedale di Cattinara è ancora lontana da trovare una soluzione e per la quale in questa manovra si stanziano ben 70 milioni di euro nell’auspicio che possano trovare adeguato utilizzo in tempi brevi. Nel frattempo però è necessario garantire la fruizione dell’ospedale, sia da parte dell’utenza che da parte del personale sanitario. Attualmente i disagi sono insostenibili ed è necessario prevedere dei percorsi temporanei.</w:t>
      </w:r>
    </w:p>
    <w:p w14:paraId="0000001A"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Un elemento positivo è la prosecuzione del percorso di supporto a strutture destinate alla residenzialità diffusa per persone anziane, questione che rischia di rappresentare una vera e propria emergenza dei prossimi anni e che ha bisogno di una programmazione pluriennale e condivisa con i soggetti del terzo settore che possono accompagnare questo processo. </w:t>
      </w:r>
    </w:p>
    <w:p w14:paraId="0000001B"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Rimangono tuttavia sullo sfondo le tante criticità del Servizio Sanitario Regionale, che rischiano di esplodere nel momento in cui il tampone che oggi viene posto grazie alla mole imponente di risorse stanziate non fosse più sostenibile, nonché le conseguenze della scelta - per noi sbagliata - di smantellare le eccellenze di un sistema di salute diffuso e capillare per inaugurare case e ospedali di comunità che di nuovo hanno solo il nome, senza alcun ragionamento sul personale che vi dovrà operare.</w:t>
      </w:r>
    </w:p>
    <w:p w14:paraId="0000001C"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Infine, come purtroppo d’abitudine, sappiamo che una parte considerevole della manovra estiva sarà determinata dagli emendamenti che la Giunta porterà in aula durante la discussione generale e che fra questi tanta parte delle risorse sarà destinata alla cosiddetta concertazione con i Comuni. Ci auguriamo di non assistere all’ennesima distribuzione di risorse elargite secondo criteri lontani da una razionale equità e auspichiamo che finalmente si arrivi a una riflessione profonda finalizzata alla revisione di un modello gestionale che ha portato ad avere oltre un miliardo di euro fermo nelle casse dei Comuni della nostra regione, in crescita di oltre 300.000 euro negli ultimi 3 anni. Risorse sottratte all’economia reale e, soprattutto, ad una azione amministrativa che dovrebbe essere caratterizzata dal buon senso. </w:t>
      </w:r>
    </w:p>
    <w:p w14:paraId="0000001D" w14:textId="77777777" w:rsidR="00C802E0" w:rsidRPr="0025014C" w:rsidRDefault="00000000">
      <w:pPr>
        <w:jc w:val="both"/>
        <w:rPr>
          <w:rFonts w:ascii="DecimaWE Rg" w:eastAsia="Times New Roman" w:hAnsi="DecimaWE Rg" w:cs="Times New Roman"/>
          <w:sz w:val="24"/>
          <w:szCs w:val="24"/>
        </w:rPr>
      </w:pPr>
      <w:r w:rsidRPr="0025014C">
        <w:rPr>
          <w:rFonts w:ascii="DecimaWE Rg" w:eastAsia="Times New Roman" w:hAnsi="DecimaWE Rg" w:cs="Times New Roman"/>
          <w:sz w:val="24"/>
          <w:szCs w:val="24"/>
        </w:rPr>
        <w:t xml:space="preserve">Per parte nostra, come di consueto, porteremo all’attenzione dell’aula una serie di proposte emendative orientate al miglioramento della norma in discussione. Sulla base dell’attenzione che tali proposte incontreranno da parte della maggioranza e valutando come le risorse non ancora destinate saranno utilizzate, decideremo il giudizio finale sul testo in esame. </w:t>
      </w:r>
    </w:p>
    <w:p w14:paraId="0000001E" w14:textId="0BC6957A" w:rsidR="00C802E0" w:rsidRPr="0025014C" w:rsidRDefault="00C802E0">
      <w:pPr>
        <w:jc w:val="both"/>
        <w:rPr>
          <w:rFonts w:ascii="DecimaWE Rg" w:eastAsia="Times New Roman" w:hAnsi="DecimaWE Rg" w:cs="Times New Roman"/>
          <w:sz w:val="24"/>
          <w:szCs w:val="24"/>
        </w:rPr>
      </w:pPr>
    </w:p>
    <w:p w14:paraId="0000001F" w14:textId="2F4C5C25" w:rsidR="00C802E0" w:rsidRPr="0025014C" w:rsidRDefault="00000000">
      <w:pPr>
        <w:jc w:val="right"/>
        <w:rPr>
          <w:rFonts w:ascii="DecimaWE Rg" w:eastAsia="Times New Roman" w:hAnsi="DecimaWE Rg" w:cs="Times New Roman"/>
          <w:sz w:val="24"/>
          <w:szCs w:val="24"/>
        </w:rPr>
      </w:pPr>
      <w:r w:rsidRPr="0025014C">
        <w:rPr>
          <w:rFonts w:ascii="DecimaWE Rg" w:eastAsia="Times New Roman" w:hAnsi="DecimaWE Rg" w:cs="Times New Roman"/>
          <w:sz w:val="24"/>
          <w:szCs w:val="24"/>
        </w:rPr>
        <w:t>MORETUZZO</w:t>
      </w:r>
    </w:p>
    <w:sectPr w:rsidR="00C802E0" w:rsidRPr="0025014C">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106195E-1E8D-4EF0-98B2-5BA5B54E9A32}"/>
    <w:embedItalic r:id="rId2" w:fontKey="{EDE27BD5-79D5-4C57-86B7-B2FBEA750297}"/>
  </w:font>
  <w:font w:name="Times New Roman">
    <w:panose1 w:val="02020603050405020304"/>
    <w:charset w:val="00"/>
    <w:family w:val="roman"/>
    <w:pitch w:val="variable"/>
    <w:sig w:usb0="E0002EFF" w:usb1="C000785B" w:usb2="00000009" w:usb3="00000000" w:csb0="000001FF" w:csb1="00000000"/>
  </w:font>
  <w:font w:name="DecimaWE Rg">
    <w:charset w:val="00"/>
    <w:family w:val="auto"/>
    <w:pitch w:val="variable"/>
    <w:sig w:usb0="800000AF" w:usb1="5000205B" w:usb2="00000000" w:usb3="00000000" w:csb0="0000009B" w:csb1="00000000"/>
    <w:embedRegular r:id="rId3" w:fontKey="{3E77E22A-3FF0-48B4-94E4-4E3B574B3C50}"/>
  </w:font>
  <w:font w:name="Cambria">
    <w:panose1 w:val="02040503050406030204"/>
    <w:charset w:val="00"/>
    <w:family w:val="roman"/>
    <w:pitch w:val="variable"/>
    <w:sig w:usb0="E00006FF" w:usb1="420024FF" w:usb2="02000000" w:usb3="00000000" w:csb0="0000019F" w:csb1="00000000"/>
    <w:embedRegular r:id="rId4" w:fontKey="{B7301E9A-BAD5-4D45-A603-F4FF9A43BB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0"/>
    <w:rsid w:val="0025014C"/>
    <w:rsid w:val="00297BA0"/>
    <w:rsid w:val="004257C2"/>
    <w:rsid w:val="007937C3"/>
    <w:rsid w:val="008A59C3"/>
    <w:rsid w:val="00B72489"/>
    <w:rsid w:val="00C802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90D15"/>
  <w15:docId w15:val="{AEBC8A52-4325-4942-B394-F2EACE4A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sz w:val="56"/>
      <w:szCs w:val="56"/>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M5uBxJUrfFv+ItIR+fzqV1iiA==">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2222</Words>
  <Characters>12672</Characters>
  <Application>Microsoft Office Word</Application>
  <DocSecurity>0</DocSecurity>
  <Lines>105</Lines>
  <Paragraphs>29</Paragraphs>
  <ScaleCrop>false</ScaleCrop>
  <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dc:creator>
  <cp:lastModifiedBy>elia mioni</cp:lastModifiedBy>
  <cp:revision>2</cp:revision>
  <cp:lastPrinted>2026-07-17T09:55:00Z</cp:lastPrinted>
  <dcterms:created xsi:type="dcterms:W3CDTF">2026-07-17T13:43:00Z</dcterms:created>
  <dcterms:modified xsi:type="dcterms:W3CDTF">2026-07-17T13:43:00Z</dcterms:modified>
</cp:coreProperties>
</file>