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C2B7" w14:textId="77777777" w:rsidR="003B522B" w:rsidRPr="003B522B" w:rsidRDefault="003B522B" w:rsidP="003B522B">
      <w:pPr>
        <w:rPr>
          <w:b/>
          <w:bCs/>
          <w:lang w:val="it"/>
        </w:rPr>
      </w:pPr>
      <w:r w:rsidRPr="003B522B">
        <w:rPr>
          <w:b/>
          <w:bCs/>
          <w:lang w:val="it"/>
        </w:rPr>
        <w:t>Report strategico: il futuro della montagna regionale tra investimenti pubblici e crisi climatica</w:t>
      </w:r>
    </w:p>
    <w:p w14:paraId="4DDAD380" w14:textId="77777777" w:rsidR="003B522B" w:rsidRPr="003B522B" w:rsidRDefault="003B522B" w:rsidP="003B522B">
      <w:pPr>
        <w:rPr>
          <w:b/>
          <w:bCs/>
          <w:lang w:val="it"/>
        </w:rPr>
      </w:pPr>
      <w:r w:rsidRPr="003B522B">
        <w:rPr>
          <w:b/>
          <w:bCs/>
          <w:lang w:val="it"/>
        </w:rPr>
        <w:t>1. Quadro generale: lo stato degli investimenti e il contesto altimetrico</w:t>
      </w:r>
    </w:p>
    <w:p w14:paraId="5EF0BA5A" w14:textId="77777777" w:rsidR="003B522B" w:rsidRPr="003B522B" w:rsidRDefault="003B522B" w:rsidP="003B522B">
      <w:pPr>
        <w:rPr>
          <w:lang w:val="it"/>
        </w:rPr>
      </w:pPr>
      <w:r w:rsidRPr="003B522B">
        <w:rPr>
          <w:lang w:val="it"/>
        </w:rPr>
        <w:t xml:space="preserve">Dal 2000 al 2019, la politica regionale ha immesso </w:t>
      </w:r>
      <w:r w:rsidRPr="003B522B">
        <w:rPr>
          <w:b/>
          <w:bCs/>
          <w:lang w:val="it"/>
        </w:rPr>
        <w:t>266 milioni di euro</w:t>
      </w:r>
      <w:r w:rsidRPr="003B522B">
        <w:rPr>
          <w:lang w:val="it"/>
        </w:rPr>
        <w:t xml:space="preserve"> nel settore dello sci di discesa. Da un'ottica di analisi economica, tale cifra non rappresenta più un investimento volano, bensì un massiccio </w:t>
      </w:r>
      <w:r w:rsidRPr="003B522B">
        <w:rPr>
          <w:b/>
          <w:bCs/>
          <w:lang w:val="it"/>
        </w:rPr>
        <w:t>costo sommerso</w:t>
      </w:r>
      <w:r w:rsidRPr="003B522B">
        <w:rPr>
          <w:lang w:val="it"/>
        </w:rPr>
        <w:t xml:space="preserve">: un capitale già speso che viene oggi utilizzato per giustificare irrazionalmente ulteriori esborsi in un modello produttivo agonizzante. </w:t>
      </w:r>
      <w:r w:rsidRPr="003B522B">
        <w:rPr>
          <w:lang w:val="it"/>
        </w:rPr>
        <w:br/>
      </w:r>
      <w:r w:rsidRPr="003B522B">
        <w:rPr>
          <w:lang w:val="it"/>
        </w:rPr>
        <w:br/>
        <w:t xml:space="preserve">Il dato è particolarmente rilevante nel contesto della nostra analisi perché evidenzia il distacco abissale con la programmazione attuale: se in vent'anni sono stati immessi 266 milioni, la Giunta attuale ne ha programmati </w:t>
      </w:r>
      <w:r w:rsidRPr="003B522B">
        <w:rPr>
          <w:b/>
          <w:bCs/>
          <w:lang w:val="it"/>
        </w:rPr>
        <w:t>190 milioni in una singola delibera (2025)</w:t>
      </w:r>
      <w:r w:rsidRPr="003B522B">
        <w:rPr>
          <w:lang w:val="it"/>
        </w:rPr>
        <w:t>.</w:t>
      </w:r>
      <w:r w:rsidRPr="003B522B">
        <w:rPr>
          <w:lang w:val="it"/>
        </w:rPr>
        <w:br/>
      </w:r>
      <w:r w:rsidRPr="003B522B">
        <w:rPr>
          <w:lang w:val="it"/>
        </w:rPr>
        <w:br/>
        <w:t>La scelta politica di insistere su questa direzione ignora una barriera fisica insormontabile: il posizionamento altimetrico dei poli regionali.</w:t>
      </w:r>
    </w:p>
    <w:tbl>
      <w:tblPr>
        <w:tblW w:w="961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922"/>
        <w:gridCol w:w="4694"/>
      </w:tblGrid>
      <w:tr w:rsidR="003B522B" w:rsidRPr="003B522B" w14:paraId="3763AE1B"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5429FB44" w14:textId="77777777" w:rsidR="003B522B" w:rsidRPr="003B522B" w:rsidRDefault="003B522B" w:rsidP="003B522B">
            <w:pPr>
              <w:rPr>
                <w:lang w:val="it"/>
              </w:rPr>
            </w:pPr>
            <w:r w:rsidRPr="003B522B">
              <w:rPr>
                <w:lang w:val="it"/>
              </w:rPr>
              <w:t>Polo Sciistico</w:t>
            </w:r>
          </w:p>
        </w:tc>
        <w:tc>
          <w:tcPr>
            <w:tcW w:w="4694" w:type="dxa"/>
            <w:tcBorders>
              <w:top w:val="single" w:sz="6" w:space="0" w:color="000000"/>
              <w:left w:val="single" w:sz="6" w:space="0" w:color="000000"/>
              <w:bottom w:val="single" w:sz="6" w:space="0" w:color="000000"/>
              <w:right w:val="single" w:sz="6" w:space="0" w:color="000000"/>
            </w:tcBorders>
            <w:vAlign w:val="center"/>
          </w:tcPr>
          <w:p w14:paraId="6999411C" w14:textId="77777777" w:rsidR="003B522B" w:rsidRPr="003B522B" w:rsidRDefault="003B522B" w:rsidP="003B522B">
            <w:pPr>
              <w:rPr>
                <w:lang w:val="it"/>
              </w:rPr>
            </w:pPr>
            <w:r w:rsidRPr="003B522B">
              <w:rPr>
                <w:lang w:val="it"/>
              </w:rPr>
              <w:t>Fascia Altimetrica (m)</w:t>
            </w:r>
          </w:p>
        </w:tc>
      </w:tr>
      <w:tr w:rsidR="003B522B" w:rsidRPr="003B522B" w14:paraId="18E82E73"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061B20F9" w14:textId="77777777" w:rsidR="003B522B" w:rsidRPr="003B522B" w:rsidRDefault="003B522B" w:rsidP="003B522B">
            <w:pPr>
              <w:rPr>
                <w:lang w:val="it"/>
              </w:rPr>
            </w:pPr>
            <w:r w:rsidRPr="003B522B">
              <w:rPr>
                <w:b/>
                <w:bCs/>
                <w:lang w:val="it"/>
              </w:rPr>
              <w:t>Zoncolan</w:t>
            </w:r>
          </w:p>
        </w:tc>
        <w:tc>
          <w:tcPr>
            <w:tcW w:w="4694" w:type="dxa"/>
            <w:tcBorders>
              <w:top w:val="single" w:sz="6" w:space="0" w:color="000000"/>
              <w:left w:val="single" w:sz="6" w:space="0" w:color="000000"/>
              <w:bottom w:val="single" w:sz="6" w:space="0" w:color="000000"/>
              <w:right w:val="single" w:sz="6" w:space="0" w:color="000000"/>
            </w:tcBorders>
            <w:vAlign w:val="center"/>
          </w:tcPr>
          <w:p w14:paraId="59CC97CB" w14:textId="77777777" w:rsidR="003B522B" w:rsidRPr="003B522B" w:rsidRDefault="003B522B" w:rsidP="003B522B">
            <w:pPr>
              <w:rPr>
                <w:lang w:val="it"/>
              </w:rPr>
            </w:pPr>
            <w:r w:rsidRPr="003B522B">
              <w:rPr>
                <w:lang w:val="it"/>
              </w:rPr>
              <w:t>950 – 1.970</w:t>
            </w:r>
          </w:p>
        </w:tc>
      </w:tr>
      <w:tr w:rsidR="003B522B" w:rsidRPr="003B522B" w14:paraId="71F3040A"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1E4AB43E" w14:textId="77777777" w:rsidR="003B522B" w:rsidRPr="003B522B" w:rsidRDefault="003B522B" w:rsidP="003B522B">
            <w:pPr>
              <w:rPr>
                <w:lang w:val="it"/>
              </w:rPr>
            </w:pPr>
            <w:r w:rsidRPr="003B522B">
              <w:rPr>
                <w:b/>
                <w:bCs/>
                <w:lang w:val="it"/>
              </w:rPr>
              <w:t>Tarvisio</w:t>
            </w:r>
          </w:p>
        </w:tc>
        <w:tc>
          <w:tcPr>
            <w:tcW w:w="4694" w:type="dxa"/>
            <w:tcBorders>
              <w:top w:val="single" w:sz="6" w:space="0" w:color="000000"/>
              <w:left w:val="single" w:sz="6" w:space="0" w:color="000000"/>
              <w:bottom w:val="single" w:sz="6" w:space="0" w:color="000000"/>
              <w:right w:val="single" w:sz="6" w:space="0" w:color="000000"/>
            </w:tcBorders>
            <w:vAlign w:val="center"/>
          </w:tcPr>
          <w:p w14:paraId="32F1666C" w14:textId="77777777" w:rsidR="003B522B" w:rsidRPr="003B522B" w:rsidRDefault="003B522B" w:rsidP="003B522B">
            <w:pPr>
              <w:rPr>
                <w:lang w:val="it"/>
              </w:rPr>
            </w:pPr>
            <w:r w:rsidRPr="003B522B">
              <w:rPr>
                <w:lang w:val="it"/>
              </w:rPr>
              <w:t>754 – 1.756</w:t>
            </w:r>
          </w:p>
        </w:tc>
      </w:tr>
      <w:tr w:rsidR="003B522B" w:rsidRPr="003B522B" w14:paraId="1CE4F379"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12EEE66D" w14:textId="77777777" w:rsidR="003B522B" w:rsidRPr="003B522B" w:rsidRDefault="003B522B" w:rsidP="003B522B">
            <w:pPr>
              <w:rPr>
                <w:lang w:val="it"/>
              </w:rPr>
            </w:pPr>
            <w:r w:rsidRPr="003B522B">
              <w:rPr>
                <w:b/>
                <w:bCs/>
                <w:lang w:val="it"/>
              </w:rPr>
              <w:t>Sella Nevea</w:t>
            </w:r>
          </w:p>
        </w:tc>
        <w:tc>
          <w:tcPr>
            <w:tcW w:w="4694" w:type="dxa"/>
            <w:tcBorders>
              <w:top w:val="single" w:sz="6" w:space="0" w:color="000000"/>
              <w:left w:val="single" w:sz="6" w:space="0" w:color="000000"/>
              <w:bottom w:val="single" w:sz="6" w:space="0" w:color="000000"/>
              <w:right w:val="single" w:sz="6" w:space="0" w:color="000000"/>
            </w:tcBorders>
            <w:vAlign w:val="center"/>
          </w:tcPr>
          <w:p w14:paraId="720AA190" w14:textId="77777777" w:rsidR="003B522B" w:rsidRPr="003B522B" w:rsidRDefault="003B522B" w:rsidP="003B522B">
            <w:pPr>
              <w:rPr>
                <w:lang w:val="it"/>
              </w:rPr>
            </w:pPr>
            <w:r w:rsidRPr="003B522B">
              <w:rPr>
                <w:lang w:val="it"/>
              </w:rPr>
              <w:t>1.140 – 2.133</w:t>
            </w:r>
          </w:p>
        </w:tc>
      </w:tr>
      <w:tr w:rsidR="003B522B" w:rsidRPr="003B522B" w14:paraId="2E24E5A7"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165D1AA3" w14:textId="77777777" w:rsidR="003B522B" w:rsidRPr="003B522B" w:rsidRDefault="003B522B" w:rsidP="003B522B">
            <w:pPr>
              <w:rPr>
                <w:lang w:val="it"/>
              </w:rPr>
            </w:pPr>
            <w:r w:rsidRPr="003B522B">
              <w:rPr>
                <w:b/>
                <w:bCs/>
                <w:lang w:val="it"/>
              </w:rPr>
              <w:t>Forni di Sopra / Sauris</w:t>
            </w:r>
          </w:p>
        </w:tc>
        <w:tc>
          <w:tcPr>
            <w:tcW w:w="4694" w:type="dxa"/>
            <w:tcBorders>
              <w:top w:val="single" w:sz="6" w:space="0" w:color="000000"/>
              <w:left w:val="single" w:sz="6" w:space="0" w:color="000000"/>
              <w:bottom w:val="single" w:sz="6" w:space="0" w:color="000000"/>
              <w:right w:val="single" w:sz="6" w:space="0" w:color="000000"/>
            </w:tcBorders>
            <w:vAlign w:val="center"/>
          </w:tcPr>
          <w:p w14:paraId="0CD3A31A" w14:textId="77777777" w:rsidR="003B522B" w:rsidRPr="003B522B" w:rsidRDefault="003B522B" w:rsidP="003B522B">
            <w:pPr>
              <w:rPr>
                <w:lang w:val="it"/>
              </w:rPr>
            </w:pPr>
            <w:r w:rsidRPr="003B522B">
              <w:rPr>
                <w:lang w:val="it"/>
              </w:rPr>
              <w:t>907 – 2.067</w:t>
            </w:r>
          </w:p>
        </w:tc>
      </w:tr>
      <w:tr w:rsidR="003B522B" w:rsidRPr="003B522B" w14:paraId="2B4C8603"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588AFCE7" w14:textId="77777777" w:rsidR="003B522B" w:rsidRPr="003B522B" w:rsidRDefault="003B522B" w:rsidP="003B522B">
            <w:pPr>
              <w:rPr>
                <w:lang w:val="it"/>
              </w:rPr>
            </w:pPr>
            <w:r w:rsidRPr="003B522B">
              <w:rPr>
                <w:b/>
                <w:bCs/>
                <w:lang w:val="it"/>
              </w:rPr>
              <w:t>Piancavallo</w:t>
            </w:r>
          </w:p>
        </w:tc>
        <w:tc>
          <w:tcPr>
            <w:tcW w:w="4694" w:type="dxa"/>
            <w:tcBorders>
              <w:top w:val="single" w:sz="6" w:space="0" w:color="000000"/>
              <w:left w:val="single" w:sz="6" w:space="0" w:color="000000"/>
              <w:bottom w:val="single" w:sz="6" w:space="0" w:color="000000"/>
              <w:right w:val="single" w:sz="6" w:space="0" w:color="000000"/>
            </w:tcBorders>
            <w:vAlign w:val="center"/>
          </w:tcPr>
          <w:p w14:paraId="6714FD76" w14:textId="77777777" w:rsidR="003B522B" w:rsidRPr="003B522B" w:rsidRDefault="003B522B" w:rsidP="003B522B">
            <w:pPr>
              <w:rPr>
                <w:lang w:val="it"/>
              </w:rPr>
            </w:pPr>
            <w:r w:rsidRPr="003B522B">
              <w:rPr>
                <w:lang w:val="it"/>
              </w:rPr>
              <w:t>1.280 – 1.805</w:t>
            </w:r>
          </w:p>
        </w:tc>
      </w:tr>
      <w:tr w:rsidR="003B522B" w:rsidRPr="003B522B" w14:paraId="1978C316" w14:textId="77777777" w:rsidTr="00E20090">
        <w:tc>
          <w:tcPr>
            <w:tcW w:w="4922" w:type="dxa"/>
            <w:tcBorders>
              <w:top w:val="single" w:sz="6" w:space="0" w:color="000000"/>
              <w:left w:val="single" w:sz="6" w:space="0" w:color="000000"/>
              <w:bottom w:val="single" w:sz="6" w:space="0" w:color="000000"/>
              <w:right w:val="single" w:sz="6" w:space="0" w:color="000000"/>
            </w:tcBorders>
            <w:vAlign w:val="center"/>
          </w:tcPr>
          <w:p w14:paraId="31BDFB61" w14:textId="77777777" w:rsidR="003B522B" w:rsidRPr="003B522B" w:rsidRDefault="003B522B" w:rsidP="003B522B">
            <w:pPr>
              <w:rPr>
                <w:lang w:val="it"/>
              </w:rPr>
            </w:pPr>
            <w:r w:rsidRPr="003B522B">
              <w:rPr>
                <w:b/>
                <w:bCs/>
                <w:lang w:val="it"/>
              </w:rPr>
              <w:t>Sappada</w:t>
            </w:r>
          </w:p>
        </w:tc>
        <w:tc>
          <w:tcPr>
            <w:tcW w:w="4694" w:type="dxa"/>
            <w:tcBorders>
              <w:top w:val="single" w:sz="6" w:space="0" w:color="000000"/>
              <w:left w:val="single" w:sz="6" w:space="0" w:color="000000"/>
              <w:bottom w:val="single" w:sz="6" w:space="0" w:color="000000"/>
              <w:right w:val="single" w:sz="6" w:space="0" w:color="000000"/>
            </w:tcBorders>
            <w:vAlign w:val="center"/>
          </w:tcPr>
          <w:p w14:paraId="60618D5B" w14:textId="77777777" w:rsidR="003B522B" w:rsidRPr="003B522B" w:rsidRDefault="003B522B" w:rsidP="003B522B">
            <w:pPr>
              <w:rPr>
                <w:lang w:val="it"/>
              </w:rPr>
            </w:pPr>
            <w:r w:rsidRPr="003B522B">
              <w:rPr>
                <w:lang w:val="it"/>
              </w:rPr>
              <w:t>1.245 – 2.024</w:t>
            </w:r>
          </w:p>
        </w:tc>
      </w:tr>
    </w:tbl>
    <w:p w14:paraId="48E0F377" w14:textId="77777777" w:rsidR="003B522B" w:rsidRPr="003B522B" w:rsidRDefault="003B522B" w:rsidP="003B522B">
      <w:pPr>
        <w:rPr>
          <w:lang w:val="it"/>
        </w:rPr>
      </w:pPr>
      <w:r w:rsidRPr="003B522B">
        <w:rPr>
          <w:b/>
          <w:bCs/>
          <w:lang w:val="it"/>
        </w:rPr>
        <w:t>Analisi della vulnerabilità strutturale</w:t>
      </w:r>
      <w:r w:rsidRPr="003B522B">
        <w:rPr>
          <w:lang w:val="it"/>
        </w:rPr>
        <w:t xml:space="preserve"> La quasi totalità delle basi d'impianto si colloca ampiamente al di sotto della soglia di sicurezza climatica. Questa configurazione geografica costituisce una </w:t>
      </w:r>
      <w:r w:rsidRPr="003B522B">
        <w:rPr>
          <w:b/>
          <w:bCs/>
          <w:lang w:val="it"/>
        </w:rPr>
        <w:t>barriera fisica all'ingresso</w:t>
      </w:r>
      <w:r w:rsidRPr="003B522B">
        <w:rPr>
          <w:lang w:val="it"/>
        </w:rPr>
        <w:t xml:space="preserve"> nel mercato del turismo invernale del futuro: l'inevitabile rialzo termico trasforma la bassa quota in una trappola finanziaria. La necessità di mantenere l'operatività in contesti morfologicamente inadatti genera una pressione insostenibile sulla spesa pubblica, costretta a compensare con l'innevamento artificiale l'assenza strutturale di materia prima.</w:t>
      </w:r>
    </w:p>
    <w:p w14:paraId="78E8F937" w14:textId="77777777" w:rsidR="003B522B" w:rsidRPr="003B522B" w:rsidRDefault="003B522B" w:rsidP="003B522B">
      <w:pPr>
        <w:rPr>
          <w:b/>
          <w:bCs/>
          <w:lang w:val="it"/>
        </w:rPr>
      </w:pPr>
      <w:r w:rsidRPr="003B522B">
        <w:rPr>
          <w:b/>
          <w:bCs/>
          <w:lang w:val="it"/>
        </w:rPr>
        <w:t>2. Analisi finanziaria della pianificazione 2025-2027: inefficienza allocativa</w:t>
      </w:r>
    </w:p>
    <w:p w14:paraId="1CAD9CC8" w14:textId="77777777" w:rsidR="003B522B" w:rsidRPr="003B522B" w:rsidRDefault="003B522B" w:rsidP="003B522B">
      <w:pPr>
        <w:rPr>
          <w:lang w:val="it"/>
        </w:rPr>
      </w:pPr>
      <w:r w:rsidRPr="003B522B">
        <w:rPr>
          <w:lang w:val="it"/>
        </w:rPr>
        <w:t>La Delibera 1981-2024 certifica una preoccupante incapacità di deviare da un percorso fallimentare nonostante l'evidenza dei dati. Il nuovo piano richiede un impegno finanziario senza precedenti per consolidare asset ad alto rischio di obsolescenza climatica.</w:t>
      </w:r>
    </w:p>
    <w:p w14:paraId="4B646A6A" w14:textId="77777777" w:rsidR="003B522B" w:rsidRPr="003B522B" w:rsidRDefault="003B522B" w:rsidP="003B522B">
      <w:pPr>
        <w:rPr>
          <w:lang w:val="it"/>
        </w:rPr>
      </w:pPr>
      <w:r w:rsidRPr="003B522B">
        <w:rPr>
          <w:b/>
          <w:bCs/>
          <w:lang w:val="it"/>
        </w:rPr>
        <w:t>Il paradosso della marginalità</w:t>
      </w:r>
      <w:r w:rsidRPr="003B522B">
        <w:rPr>
          <w:lang w:val="it"/>
        </w:rPr>
        <w:t xml:space="preserve"> Mentre i costi per bacini di innevamento (es. Tamai e </w:t>
      </w:r>
      <w:proofErr w:type="spellStart"/>
      <w:r w:rsidRPr="003B522B">
        <w:rPr>
          <w:lang w:val="it"/>
        </w:rPr>
        <w:t>Florianca</w:t>
      </w:r>
      <w:proofErr w:type="spellEnd"/>
      <w:r w:rsidRPr="003B522B">
        <w:rPr>
          <w:lang w:val="it"/>
        </w:rPr>
        <w:t xml:space="preserve">) e sostituzioni tecnologiche (Seggiovia </w:t>
      </w:r>
      <w:proofErr w:type="spellStart"/>
      <w:r w:rsidRPr="003B522B">
        <w:rPr>
          <w:lang w:val="it"/>
        </w:rPr>
        <w:t>Valvan</w:t>
      </w:r>
      <w:proofErr w:type="spellEnd"/>
      <w:r w:rsidRPr="003B522B">
        <w:rPr>
          <w:lang w:val="it"/>
        </w:rPr>
        <w:t xml:space="preserve"> a 18 M€) esplodono, la redditività del sistema è in caduta libera. I dati del pre-consuntivo 2024 rivelano un quadro di insolvenza operativa: 5 poli su 6 presentano un </w:t>
      </w:r>
      <w:r w:rsidRPr="003B522B">
        <w:rPr>
          <w:b/>
          <w:bCs/>
          <w:lang w:val="it"/>
        </w:rPr>
        <w:t>Margine Operativo Lordo (MOL) negativo</w:t>
      </w:r>
      <w:r w:rsidRPr="003B522B">
        <w:rPr>
          <w:lang w:val="it"/>
        </w:rPr>
        <w:t>. Tarvisio segna un disavanzo di -552k €, Sappada -809k €, Forni/Sauris -897k €, Piancavallo -446k € e Sella Nevea -423k €. L'unica eccezione è lo Zoncolan (+1,5 M€), il cui surplus viene sistematicamente drenato per sovvenzionare un sistema regionale in una spirale finanziaria verso l’abisso.</w:t>
      </w:r>
    </w:p>
    <w:p w14:paraId="66534277" w14:textId="77777777" w:rsidR="003B522B" w:rsidRPr="003B522B" w:rsidRDefault="003B522B" w:rsidP="003B522B">
      <w:pPr>
        <w:rPr>
          <w:b/>
          <w:bCs/>
          <w:lang w:val="it"/>
        </w:rPr>
      </w:pPr>
      <w:r w:rsidRPr="003B522B">
        <w:rPr>
          <w:b/>
          <w:bCs/>
          <w:lang w:val="it"/>
        </w:rPr>
        <w:t>3. La collisione con la realtà climatica: dati "Montagna 365"</w:t>
      </w:r>
    </w:p>
    <w:p w14:paraId="2329C6E5" w14:textId="77777777" w:rsidR="003B522B" w:rsidRPr="003B522B" w:rsidRDefault="003B522B" w:rsidP="003B522B">
      <w:pPr>
        <w:rPr>
          <w:lang w:val="it"/>
        </w:rPr>
      </w:pPr>
      <w:r w:rsidRPr="003B522B">
        <w:rPr>
          <w:lang w:val="it"/>
        </w:rPr>
        <w:t>Ignorare i valori fisici della Criosfera significa condannare il capitale pubblico alla distruzione. Il piano "Montagna 365" offre una fotografia impietosa del rischio di obsolescenza:</w:t>
      </w:r>
    </w:p>
    <w:p w14:paraId="14BFF5BE" w14:textId="77777777" w:rsidR="003B522B" w:rsidRPr="003B522B" w:rsidRDefault="003B522B" w:rsidP="003B522B">
      <w:pPr>
        <w:numPr>
          <w:ilvl w:val="0"/>
          <w:numId w:val="1"/>
        </w:numPr>
        <w:rPr>
          <w:lang w:val="it"/>
        </w:rPr>
      </w:pPr>
      <w:r w:rsidRPr="003B522B">
        <w:rPr>
          <w:b/>
          <w:bCs/>
          <w:lang w:val="it"/>
        </w:rPr>
        <w:lastRenderedPageBreak/>
        <w:t>Linea di Affidabilità Neve (LAN):</w:t>
      </w:r>
      <w:r w:rsidRPr="003B522B">
        <w:rPr>
          <w:lang w:val="it"/>
        </w:rPr>
        <w:t xml:space="preserve"> Stabilizzata a </w:t>
      </w:r>
      <w:r w:rsidRPr="003B522B">
        <w:rPr>
          <w:b/>
          <w:bCs/>
          <w:lang w:val="it"/>
        </w:rPr>
        <w:t>1.500 metri</w:t>
      </w:r>
      <w:r w:rsidRPr="003B522B">
        <w:rPr>
          <w:lang w:val="it"/>
        </w:rPr>
        <w:t>, con proiezione di risalita di 150m per ogni grado di aumento termico.</w:t>
      </w:r>
    </w:p>
    <w:p w14:paraId="2343367E" w14:textId="77777777" w:rsidR="003B522B" w:rsidRPr="003B522B" w:rsidRDefault="003B522B" w:rsidP="003B522B">
      <w:pPr>
        <w:numPr>
          <w:ilvl w:val="0"/>
          <w:numId w:val="1"/>
        </w:numPr>
        <w:rPr>
          <w:lang w:val="it"/>
        </w:rPr>
      </w:pPr>
      <w:r w:rsidRPr="003B522B">
        <w:rPr>
          <w:b/>
          <w:bCs/>
          <w:lang w:val="it"/>
        </w:rPr>
        <w:t>Contrazione delle finestre di gelo:</w:t>
      </w:r>
      <w:r w:rsidRPr="003B522B">
        <w:rPr>
          <w:lang w:val="it"/>
        </w:rPr>
        <w:t xml:space="preserve"> Riduzione del 33% dei giorni di freddo (da 60 a 40 giorni), limitando drasticamente l'efficacia dell'innevamento tecnico.</w:t>
      </w:r>
    </w:p>
    <w:p w14:paraId="648E49A7" w14:textId="77777777" w:rsidR="003B522B" w:rsidRPr="003B522B" w:rsidRDefault="003B522B" w:rsidP="003B522B">
      <w:pPr>
        <w:numPr>
          <w:ilvl w:val="0"/>
          <w:numId w:val="1"/>
        </w:numPr>
        <w:rPr>
          <w:lang w:val="it"/>
        </w:rPr>
      </w:pPr>
      <w:r w:rsidRPr="003B522B">
        <w:rPr>
          <w:b/>
          <w:bCs/>
          <w:lang w:val="it"/>
        </w:rPr>
        <w:t xml:space="preserve">Degrado </w:t>
      </w:r>
      <w:proofErr w:type="spellStart"/>
      <w:r w:rsidRPr="003B522B">
        <w:rPr>
          <w:b/>
          <w:bCs/>
          <w:lang w:val="it"/>
        </w:rPr>
        <w:t>criosferico</w:t>
      </w:r>
      <w:proofErr w:type="spellEnd"/>
      <w:r w:rsidRPr="003B522B">
        <w:rPr>
          <w:b/>
          <w:bCs/>
          <w:lang w:val="it"/>
        </w:rPr>
        <w:t>:</w:t>
      </w:r>
      <w:r w:rsidRPr="003B522B">
        <w:rPr>
          <w:lang w:val="it"/>
        </w:rPr>
        <w:t xml:space="preserve"> Aumento di 1,7°C/2,4°C nelle Alpi Giulie e riduzione dell'82% della superficie dei ghiacciai.</w:t>
      </w:r>
    </w:p>
    <w:p w14:paraId="41AC6941" w14:textId="77777777" w:rsidR="003B522B" w:rsidRPr="003B522B" w:rsidRDefault="003B522B" w:rsidP="003B522B">
      <w:pPr>
        <w:rPr>
          <w:lang w:val="it"/>
        </w:rPr>
      </w:pPr>
      <w:r w:rsidRPr="003B522B">
        <w:rPr>
          <w:b/>
          <w:bCs/>
          <w:lang w:val="it"/>
        </w:rPr>
        <w:t>Il divario strategico con i competitor</w:t>
      </w:r>
      <w:r w:rsidRPr="003B522B">
        <w:rPr>
          <w:lang w:val="it"/>
        </w:rPr>
        <w:t xml:space="preserve"> Mentre l'Austria sta attuando una ritirata strategica, dismettendo le aree sciistiche tra i 1.200 e i 1.600 metri, la Regione FVG opera in direzione ostinata e contraria. </w:t>
      </w:r>
    </w:p>
    <w:p w14:paraId="0E4EB76F" w14:textId="77777777" w:rsidR="003B522B" w:rsidRPr="003B522B" w:rsidRDefault="003B522B" w:rsidP="003B522B">
      <w:pPr>
        <w:rPr>
          <w:lang w:val="it"/>
        </w:rPr>
      </w:pPr>
      <w:r w:rsidRPr="003B522B">
        <w:rPr>
          <w:lang w:val="it"/>
        </w:rPr>
        <w:t xml:space="preserve">Ne è l'esempio plastico l'investimento di </w:t>
      </w:r>
      <w:r w:rsidRPr="003B522B">
        <w:rPr>
          <w:b/>
          <w:bCs/>
          <w:lang w:val="it"/>
        </w:rPr>
        <w:t xml:space="preserve">€ 7.000.000 per il "Nuovo impianto </w:t>
      </w:r>
      <w:proofErr w:type="spellStart"/>
      <w:r w:rsidRPr="003B522B">
        <w:rPr>
          <w:b/>
          <w:bCs/>
          <w:lang w:val="it"/>
        </w:rPr>
        <w:t>Misconca</w:t>
      </w:r>
      <w:proofErr w:type="spellEnd"/>
      <w:r w:rsidRPr="003B522B">
        <w:rPr>
          <w:b/>
          <w:bCs/>
          <w:lang w:val="it"/>
        </w:rPr>
        <w:t>-Lussari"</w:t>
      </w:r>
      <w:r w:rsidRPr="003B522B">
        <w:rPr>
          <w:lang w:val="it"/>
        </w:rPr>
        <w:t xml:space="preserve"> a Tarvisio, situato esattamente in quella fascia altimetrica che i mercati d'oltralpe definiscono ormai "fuori mercato". Si tratta di un investimento in asset che saranno climaticamente inservibili prima ancora di aver concluso il loro ciclo di ammortamento.</w:t>
      </w:r>
    </w:p>
    <w:p w14:paraId="7CDFE879" w14:textId="77777777" w:rsidR="003B522B" w:rsidRPr="003B522B" w:rsidRDefault="003B522B" w:rsidP="003B522B">
      <w:pPr>
        <w:rPr>
          <w:b/>
          <w:bCs/>
          <w:lang w:val="it"/>
        </w:rPr>
      </w:pPr>
      <w:r w:rsidRPr="003B522B">
        <w:rPr>
          <w:b/>
          <w:bCs/>
          <w:lang w:val="it"/>
        </w:rPr>
        <w:t>4. "Accanimento terapeutico" e camouflage finanziario</w:t>
      </w:r>
    </w:p>
    <w:p w14:paraId="34E67147" w14:textId="77777777" w:rsidR="003B522B" w:rsidRPr="003B522B" w:rsidRDefault="003B522B" w:rsidP="003B522B">
      <w:pPr>
        <w:rPr>
          <w:lang w:val="it"/>
        </w:rPr>
      </w:pPr>
      <w:r w:rsidRPr="003B522B">
        <w:rPr>
          <w:lang w:val="it"/>
        </w:rPr>
        <w:t>L'allocazione di capitali in strutture non autosufficienti ha superato la soglia del supporto allo sviluppo per entrare nel campo dell'</w:t>
      </w:r>
      <w:r w:rsidRPr="003B522B">
        <w:rPr>
          <w:b/>
          <w:bCs/>
          <w:lang w:val="it"/>
        </w:rPr>
        <w:t>accanimento terapeutico</w:t>
      </w:r>
      <w:r w:rsidRPr="003B522B">
        <w:rPr>
          <w:lang w:val="it"/>
        </w:rPr>
        <w:t>. Gli investimenti non generano più ricchezza, ma servono esclusivamente a posticipare il collasso di infrastrutture tecnicamente obsolete.</w:t>
      </w:r>
    </w:p>
    <w:p w14:paraId="07948C6F" w14:textId="77777777" w:rsidR="003B522B" w:rsidRPr="003B522B" w:rsidRDefault="003B522B" w:rsidP="003B522B">
      <w:pPr>
        <w:rPr>
          <w:lang w:val="it"/>
        </w:rPr>
      </w:pPr>
      <w:r w:rsidRPr="003B522B">
        <w:rPr>
          <w:lang w:val="it"/>
        </w:rPr>
        <w:t>Esempi di gestione distorta includono:</w:t>
      </w:r>
    </w:p>
    <w:p w14:paraId="68DC376B" w14:textId="77777777" w:rsidR="003B522B" w:rsidRPr="003B522B" w:rsidRDefault="003B522B" w:rsidP="003B522B">
      <w:pPr>
        <w:numPr>
          <w:ilvl w:val="0"/>
          <w:numId w:val="2"/>
        </w:numPr>
        <w:rPr>
          <w:lang w:val="it"/>
        </w:rPr>
      </w:pPr>
      <w:r w:rsidRPr="003B522B">
        <w:rPr>
          <w:b/>
          <w:bCs/>
          <w:lang w:val="it"/>
        </w:rPr>
        <w:t>Riallocazione opportunistica:</w:t>
      </w:r>
      <w:r w:rsidRPr="003B522B">
        <w:rPr>
          <w:lang w:val="it"/>
        </w:rPr>
        <w:t xml:space="preserve"> I </w:t>
      </w:r>
      <w:r w:rsidRPr="003B522B">
        <w:rPr>
          <w:b/>
          <w:bCs/>
          <w:lang w:val="it"/>
        </w:rPr>
        <w:t>15 M€</w:t>
      </w:r>
      <w:r w:rsidRPr="003B522B">
        <w:rPr>
          <w:lang w:val="it"/>
        </w:rPr>
        <w:t xml:space="preserve"> originariamente destinati alla Pista 3 dello Zoncolan (poi stralciata) non sono stati restituiti al bilancio o dirottati sulla transizione, ma frammentati per coprire extracosti di lotti funzionali esistenti.</w:t>
      </w:r>
    </w:p>
    <w:p w14:paraId="6346ED71" w14:textId="77777777" w:rsidR="003B522B" w:rsidRPr="003B522B" w:rsidRDefault="003B522B" w:rsidP="003B522B">
      <w:pPr>
        <w:numPr>
          <w:ilvl w:val="0"/>
          <w:numId w:val="2"/>
        </w:numPr>
        <w:rPr>
          <w:lang w:val="it"/>
        </w:rPr>
      </w:pPr>
      <w:r w:rsidRPr="003B522B">
        <w:rPr>
          <w:b/>
          <w:bCs/>
          <w:lang w:val="it"/>
        </w:rPr>
        <w:t>Camouflage dei rischi su Sappada:</w:t>
      </w:r>
      <w:r w:rsidRPr="003B522B">
        <w:rPr>
          <w:lang w:val="it"/>
        </w:rPr>
        <w:t xml:space="preserve"> Il progetto 6.1, originariamente da 15,5 M€, è stato riorganizzato in </w:t>
      </w:r>
      <w:r w:rsidRPr="003B522B">
        <w:rPr>
          <w:b/>
          <w:bCs/>
          <w:lang w:val="it"/>
        </w:rPr>
        <w:t>8 sub-progetti (da 6.1.1 a 6.1.8)</w:t>
      </w:r>
      <w:r w:rsidRPr="003B522B">
        <w:rPr>
          <w:lang w:val="it"/>
        </w:rPr>
        <w:t>. Questa frammentazione in micro-lotti funzionali appare come una manovra di "camouflage finanziario" per diluire la percezione del rischio sistemico su impianti come la Sappada-Miravalle, giunti ormai al limite della vita utile.</w:t>
      </w:r>
    </w:p>
    <w:p w14:paraId="331005A2" w14:textId="77777777" w:rsidR="003B522B" w:rsidRPr="003B522B" w:rsidRDefault="003B522B" w:rsidP="003B522B">
      <w:pPr>
        <w:numPr>
          <w:ilvl w:val="0"/>
          <w:numId w:val="2"/>
        </w:numPr>
        <w:rPr>
          <w:lang w:val="it"/>
        </w:rPr>
      </w:pPr>
      <w:r w:rsidRPr="003B522B">
        <w:rPr>
          <w:b/>
          <w:bCs/>
          <w:lang w:val="it"/>
        </w:rPr>
        <w:t>Interventi a quote suicide:</w:t>
      </w:r>
      <w:r w:rsidRPr="003B522B">
        <w:rPr>
          <w:lang w:val="it"/>
        </w:rPr>
        <w:t xml:space="preserve"> Si continuano a iniettare fondi per manutenzioni urgenti a quote dove il disgelo è la norma (Tarvisio 754 m, Forni 907 m), garantendo la sopravvivenza artificiale di asset privi di futuro.</w:t>
      </w:r>
    </w:p>
    <w:p w14:paraId="08B4DBD1" w14:textId="77777777" w:rsidR="003B522B" w:rsidRPr="003B522B" w:rsidRDefault="003B522B" w:rsidP="003B522B">
      <w:pPr>
        <w:rPr>
          <w:b/>
          <w:bCs/>
          <w:lang w:val="it"/>
        </w:rPr>
      </w:pPr>
      <w:r w:rsidRPr="003B522B">
        <w:rPr>
          <w:b/>
          <w:bCs/>
          <w:lang w:val="it"/>
        </w:rPr>
        <w:t>5. Verso un modello oltre lo sci: il fallimento della governance</w:t>
      </w:r>
    </w:p>
    <w:p w14:paraId="1D618ABD" w14:textId="77777777" w:rsidR="003B522B" w:rsidRPr="003B522B" w:rsidRDefault="003B522B" w:rsidP="003B522B">
      <w:pPr>
        <w:rPr>
          <w:lang w:val="it"/>
        </w:rPr>
      </w:pPr>
      <w:r w:rsidRPr="003B522B">
        <w:rPr>
          <w:lang w:val="it"/>
        </w:rPr>
        <w:t>Il potenziale per una transizione è evidente: le presenze estive (645.238) hanno già ampiamente superato quelle invernali (395.697) [dati 2018-2019]. Tuttavia, la mutazione della domanda turistica — verso l'outdoor, il benessere e l'enogastronomia — si scontra con una governance locale inadeguata.</w:t>
      </w:r>
    </w:p>
    <w:p w14:paraId="421435C6" w14:textId="77777777" w:rsidR="003B522B" w:rsidRPr="003B522B" w:rsidRDefault="003B522B" w:rsidP="003B522B">
      <w:pPr>
        <w:rPr>
          <w:lang w:val="it"/>
        </w:rPr>
      </w:pPr>
      <w:r w:rsidRPr="003B522B">
        <w:rPr>
          <w:lang w:val="it"/>
        </w:rPr>
        <w:t>La SWOT Analysis del settore rivela le vere cause del blocco:</w:t>
      </w:r>
    </w:p>
    <w:p w14:paraId="1C5FC0DA" w14:textId="77777777" w:rsidR="003B522B" w:rsidRPr="003B522B" w:rsidRDefault="003B522B" w:rsidP="003B522B">
      <w:pPr>
        <w:numPr>
          <w:ilvl w:val="0"/>
          <w:numId w:val="3"/>
        </w:numPr>
        <w:rPr>
          <w:lang w:val="it"/>
        </w:rPr>
      </w:pPr>
      <w:r w:rsidRPr="003B522B">
        <w:rPr>
          <w:b/>
          <w:bCs/>
          <w:lang w:val="it"/>
        </w:rPr>
        <w:t>Visione imprenditoriale ancora debole:</w:t>
      </w:r>
      <w:r w:rsidRPr="003B522B">
        <w:rPr>
          <w:lang w:val="it"/>
        </w:rPr>
        <w:t xml:space="preserve"> Incapacità della classe imprenditoriale locale di investire a medio-lungo termine.</w:t>
      </w:r>
    </w:p>
    <w:p w14:paraId="20762F75" w14:textId="77777777" w:rsidR="003B522B" w:rsidRPr="003B522B" w:rsidRDefault="003B522B" w:rsidP="003B522B">
      <w:pPr>
        <w:numPr>
          <w:ilvl w:val="0"/>
          <w:numId w:val="3"/>
        </w:numPr>
        <w:rPr>
          <w:lang w:val="it"/>
        </w:rPr>
      </w:pPr>
      <w:r w:rsidRPr="003B522B">
        <w:rPr>
          <w:b/>
          <w:bCs/>
          <w:lang w:val="it"/>
        </w:rPr>
        <w:t>Mancanza di una struttura di governance territoriale:</w:t>
      </w:r>
      <w:r w:rsidRPr="003B522B">
        <w:rPr>
          <w:lang w:val="it"/>
        </w:rPr>
        <w:t xml:space="preserve"> Assenza di una politica di sviluppo unitaria che superi il campanilismo dei singoli poli.</w:t>
      </w:r>
    </w:p>
    <w:p w14:paraId="7107612F" w14:textId="77777777" w:rsidR="003B522B" w:rsidRPr="003B522B" w:rsidRDefault="003B522B" w:rsidP="003B522B">
      <w:pPr>
        <w:numPr>
          <w:ilvl w:val="0"/>
          <w:numId w:val="3"/>
        </w:numPr>
        <w:rPr>
          <w:lang w:val="it"/>
        </w:rPr>
      </w:pPr>
      <w:r w:rsidRPr="003B522B">
        <w:rPr>
          <w:b/>
          <w:bCs/>
          <w:lang w:val="it"/>
        </w:rPr>
        <w:t>Carenza strutturale di offerta qualificata:</w:t>
      </w:r>
      <w:r w:rsidRPr="003B522B">
        <w:rPr>
          <w:lang w:val="it"/>
        </w:rPr>
        <w:t xml:space="preserve"> Con 0 hotel a 5 stelle e una qualità dei posti letto inadeguata, la montagna regionale non riesce a trattenere i segmenti alto-spendenti, nonostante un mercato estero che pesa per il 46% in inverno e il 27% in estate.</w:t>
      </w:r>
    </w:p>
    <w:p w14:paraId="4328456E" w14:textId="77777777" w:rsidR="003B522B" w:rsidRPr="003B522B" w:rsidRDefault="003B522B" w:rsidP="003B522B">
      <w:pPr>
        <w:rPr>
          <w:lang w:val="it"/>
        </w:rPr>
      </w:pPr>
      <w:r w:rsidRPr="003B522B">
        <w:rPr>
          <w:lang w:val="it"/>
        </w:rPr>
        <w:t>Si continua a investire massicciamente nel "ferro" degli impianti di risalita, ignorando che il vero collo di bottiglia è l'assenza di servizi e ricettività all'altezza dei trend internazionali.</w:t>
      </w:r>
    </w:p>
    <w:p w14:paraId="7AFC6273" w14:textId="77777777" w:rsidR="003B522B" w:rsidRPr="003B522B" w:rsidRDefault="003B522B" w:rsidP="003B522B">
      <w:pPr>
        <w:rPr>
          <w:b/>
          <w:bCs/>
          <w:lang w:val="it"/>
        </w:rPr>
      </w:pPr>
      <w:r w:rsidRPr="003B522B">
        <w:rPr>
          <w:b/>
          <w:bCs/>
          <w:lang w:val="it"/>
        </w:rPr>
        <w:t xml:space="preserve">6. Sintesi tecnica </w:t>
      </w:r>
    </w:p>
    <w:p w14:paraId="3F59DFA5" w14:textId="77777777" w:rsidR="003B522B" w:rsidRPr="003B522B" w:rsidRDefault="003B522B" w:rsidP="003B522B">
      <w:pPr>
        <w:rPr>
          <w:lang w:val="it"/>
        </w:rPr>
      </w:pPr>
      <w:r w:rsidRPr="003B522B">
        <w:rPr>
          <w:lang w:val="it"/>
        </w:rPr>
        <w:t>Il report evidenzia come la strategia regionale sia improntata a un'ostinata negazione della realtà climatica e finanziaria. Ogni euro investito in impianti sotto i 1.500 metri è un capitale a rischio altissimo che sottrae risorse vitali alla necessaria riconversione ecologica del territorio friulano.</w:t>
      </w:r>
    </w:p>
    <w:p w14:paraId="75E59F2B" w14:textId="77777777" w:rsidR="003B522B" w:rsidRPr="003B522B" w:rsidRDefault="003B522B" w:rsidP="003B522B">
      <w:pPr>
        <w:numPr>
          <w:ilvl w:val="0"/>
          <w:numId w:val="4"/>
        </w:numPr>
        <w:rPr>
          <w:lang w:val="it"/>
        </w:rPr>
      </w:pPr>
      <w:r w:rsidRPr="003B522B">
        <w:rPr>
          <w:b/>
          <w:bCs/>
          <w:lang w:val="it"/>
        </w:rPr>
        <w:t>€ 133 milioni di nuove richieste:</w:t>
      </w:r>
      <w:r w:rsidRPr="003B522B">
        <w:rPr>
          <w:lang w:val="it"/>
        </w:rPr>
        <w:t xml:space="preserve"> Una mole di debito e investimenti che si somma ai 266 milioni già spesi, consolidando un modello in perdita.</w:t>
      </w:r>
    </w:p>
    <w:p w14:paraId="051839D9" w14:textId="77777777" w:rsidR="003B522B" w:rsidRPr="003B522B" w:rsidRDefault="003B522B" w:rsidP="003B522B">
      <w:pPr>
        <w:numPr>
          <w:ilvl w:val="0"/>
          <w:numId w:val="4"/>
        </w:numPr>
        <w:rPr>
          <w:lang w:val="it"/>
        </w:rPr>
      </w:pPr>
      <w:r w:rsidRPr="003B522B">
        <w:rPr>
          <w:b/>
          <w:bCs/>
          <w:lang w:val="it"/>
        </w:rPr>
        <w:t>Obsolescenza climatica totale:</w:t>
      </w:r>
      <w:r w:rsidRPr="003B522B">
        <w:rPr>
          <w:lang w:val="it"/>
        </w:rPr>
        <w:t xml:space="preserve"> La LAN a 1.500 metri rende i poli regionali (quasi tutti sotto tale quota) asset tossici nel lungo periodo.</w:t>
      </w:r>
    </w:p>
    <w:p w14:paraId="0D6FEBD0" w14:textId="77777777" w:rsidR="003B522B" w:rsidRPr="003B522B" w:rsidRDefault="003B522B" w:rsidP="003B522B">
      <w:pPr>
        <w:numPr>
          <w:ilvl w:val="0"/>
          <w:numId w:val="4"/>
        </w:numPr>
        <w:rPr>
          <w:lang w:val="it"/>
        </w:rPr>
      </w:pPr>
      <w:r w:rsidRPr="003B522B">
        <w:rPr>
          <w:b/>
          <w:bCs/>
          <w:lang w:val="it"/>
        </w:rPr>
        <w:t>Fallimento operativo (MOL):</w:t>
      </w:r>
      <w:r w:rsidRPr="003B522B">
        <w:rPr>
          <w:lang w:val="it"/>
        </w:rPr>
        <w:t xml:space="preserve"> 5 poli su 6 sono in perdita cronica (Tarvisio -552k €, Forni -897k €). Il sistema sopravvive solo grazie ai sussidi.</w:t>
      </w:r>
    </w:p>
    <w:p w14:paraId="19B643F6" w14:textId="77777777" w:rsidR="003B522B" w:rsidRPr="003B522B" w:rsidRDefault="003B522B" w:rsidP="003B522B">
      <w:pPr>
        <w:numPr>
          <w:ilvl w:val="0"/>
          <w:numId w:val="4"/>
        </w:numPr>
        <w:rPr>
          <w:lang w:val="it"/>
        </w:rPr>
      </w:pPr>
      <w:r w:rsidRPr="003B522B">
        <w:rPr>
          <w:b/>
          <w:bCs/>
          <w:lang w:val="it"/>
        </w:rPr>
        <w:t>Incongruenza strategica:</w:t>
      </w:r>
      <w:r w:rsidRPr="003B522B">
        <w:rPr>
          <w:lang w:val="it"/>
        </w:rPr>
        <w:t xml:space="preserve"> Mentre l'Austria dismette la bassa quota, il FVG investe 7 milioni in impianti a 750 metri (</w:t>
      </w:r>
      <w:proofErr w:type="spellStart"/>
      <w:r w:rsidRPr="003B522B">
        <w:rPr>
          <w:lang w:val="it"/>
        </w:rPr>
        <w:t>Misconca</w:t>
      </w:r>
      <w:proofErr w:type="spellEnd"/>
      <w:r w:rsidRPr="003B522B">
        <w:rPr>
          <w:lang w:val="it"/>
        </w:rPr>
        <w:t>-Lussari).</w:t>
      </w:r>
    </w:p>
    <w:p w14:paraId="0059ED18" w14:textId="77777777" w:rsidR="003B522B" w:rsidRPr="003B522B" w:rsidRDefault="003B522B" w:rsidP="003B522B">
      <w:pPr>
        <w:numPr>
          <w:ilvl w:val="0"/>
          <w:numId w:val="4"/>
        </w:numPr>
        <w:rPr>
          <w:lang w:val="it"/>
        </w:rPr>
      </w:pPr>
      <w:r w:rsidRPr="003B522B">
        <w:rPr>
          <w:b/>
          <w:bCs/>
          <w:lang w:val="it"/>
        </w:rPr>
        <w:t>€ 20,27 di sussidio pubblico per sciatore:</w:t>
      </w:r>
      <w:r w:rsidRPr="003B522B">
        <w:rPr>
          <w:lang w:val="it"/>
        </w:rPr>
        <w:t xml:space="preserve"> Ogni biglietto venduto è pesantemente sussidiato dal contribuente. Non è mercato, è assistenza sociale camuffata da turismo.</w:t>
      </w:r>
    </w:p>
    <w:p w14:paraId="14E95217" w14:textId="77777777" w:rsidR="003B522B" w:rsidRPr="003B522B" w:rsidRDefault="003B522B" w:rsidP="003B522B">
      <w:pPr>
        <w:rPr>
          <w:lang w:val="it"/>
        </w:rPr>
      </w:pPr>
      <w:r w:rsidRPr="003B522B">
        <w:rPr>
          <w:lang w:val="it"/>
        </w:rPr>
        <w:t>Il mantenimento di questo status quo non è una scelta economica, ma una decisione politica che condanna la montagna regionale a un inevitabile collasso finanziario sotto il peso della crisi climatica.</w:t>
      </w:r>
    </w:p>
    <w:p w14:paraId="55FF01D0" w14:textId="77777777" w:rsidR="003B522B" w:rsidRPr="003B522B" w:rsidRDefault="003B522B" w:rsidP="003B522B">
      <w:pPr>
        <w:rPr>
          <w:lang w:val="it"/>
        </w:rPr>
      </w:pPr>
      <w:r w:rsidRPr="003B522B">
        <w:rPr>
          <w:b/>
          <w:bCs/>
          <w:lang w:val="it"/>
        </w:rPr>
        <w:t>Garantire la neve a 700 metri non è un investimento: è un debito generazionale.</w:t>
      </w:r>
    </w:p>
    <w:p w14:paraId="32F57F62" w14:textId="77777777" w:rsidR="003B522B" w:rsidRPr="003B522B" w:rsidRDefault="003B522B" w:rsidP="003B522B">
      <w:pPr>
        <w:rPr>
          <w:lang w:val="it"/>
        </w:rPr>
      </w:pPr>
    </w:p>
    <w:p w14:paraId="0F249118" w14:textId="77777777" w:rsidR="003B522B" w:rsidRPr="003B522B" w:rsidRDefault="003B522B" w:rsidP="003B522B">
      <w:pPr>
        <w:rPr>
          <w:lang w:val="it"/>
        </w:rPr>
      </w:pPr>
    </w:p>
    <w:p w14:paraId="641BC956" w14:textId="77777777" w:rsidR="00BD5247" w:rsidRDefault="00BD5247"/>
    <w:sectPr w:rsidR="00BD5247" w:rsidSect="003B522B">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7516"/>
    <w:multiLevelType w:val="multilevel"/>
    <w:tmpl w:val="28443E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CCA0CBF"/>
    <w:multiLevelType w:val="multilevel"/>
    <w:tmpl w:val="50589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3E63103"/>
    <w:multiLevelType w:val="multilevel"/>
    <w:tmpl w:val="F99469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09128D1"/>
    <w:multiLevelType w:val="multilevel"/>
    <w:tmpl w:val="23AE2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11996075">
    <w:abstractNumId w:val="1"/>
  </w:num>
  <w:num w:numId="2" w16cid:durableId="1662388472">
    <w:abstractNumId w:val="2"/>
  </w:num>
  <w:num w:numId="3" w16cid:durableId="1116489785">
    <w:abstractNumId w:val="3"/>
  </w:num>
  <w:num w:numId="4" w16cid:durableId="20421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67"/>
    <w:rsid w:val="00075B67"/>
    <w:rsid w:val="003B522B"/>
    <w:rsid w:val="00601E1F"/>
    <w:rsid w:val="00A24168"/>
    <w:rsid w:val="00BD5247"/>
    <w:rsid w:val="00E05112"/>
    <w:rsid w:val="00FE7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18031-EA9F-4B89-9F73-5E1B64CA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5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75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75B6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75B6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75B6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75B6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5B6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5B6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5B6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5B6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75B6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75B6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75B6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75B6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75B6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5B6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5B6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5B6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5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5B6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5B6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5B6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5B6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5B67"/>
    <w:rPr>
      <w:i/>
      <w:iCs/>
      <w:color w:val="404040" w:themeColor="text1" w:themeTint="BF"/>
    </w:rPr>
  </w:style>
  <w:style w:type="paragraph" w:styleId="Paragrafoelenco">
    <w:name w:val="List Paragraph"/>
    <w:basedOn w:val="Normale"/>
    <w:uiPriority w:val="34"/>
    <w:qFormat/>
    <w:rsid w:val="00075B67"/>
    <w:pPr>
      <w:ind w:left="720"/>
      <w:contextualSpacing/>
    </w:pPr>
  </w:style>
  <w:style w:type="character" w:styleId="Enfasiintensa">
    <w:name w:val="Intense Emphasis"/>
    <w:basedOn w:val="Carpredefinitoparagrafo"/>
    <w:uiPriority w:val="21"/>
    <w:qFormat/>
    <w:rsid w:val="00075B67"/>
    <w:rPr>
      <w:i/>
      <w:iCs/>
      <w:color w:val="2F5496" w:themeColor="accent1" w:themeShade="BF"/>
    </w:rPr>
  </w:style>
  <w:style w:type="paragraph" w:styleId="Citazioneintensa">
    <w:name w:val="Intense Quote"/>
    <w:basedOn w:val="Normale"/>
    <w:next w:val="Normale"/>
    <w:link w:val="CitazioneintensaCarattere"/>
    <w:uiPriority w:val="30"/>
    <w:qFormat/>
    <w:rsid w:val="00075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75B67"/>
    <w:rPr>
      <w:i/>
      <w:iCs/>
      <w:color w:val="2F5496" w:themeColor="accent1" w:themeShade="BF"/>
    </w:rPr>
  </w:style>
  <w:style w:type="character" w:styleId="Riferimentointenso">
    <w:name w:val="Intense Reference"/>
    <w:basedOn w:val="Carpredefinitoparagrafo"/>
    <w:uiPriority w:val="32"/>
    <w:qFormat/>
    <w:rsid w:val="00075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6506</Characters>
  <Application>Microsoft Office Word</Application>
  <DocSecurity>0</DocSecurity>
  <Lines>101</Lines>
  <Paragraphs>28</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mioni</dc:creator>
  <cp:keywords/>
  <dc:description/>
  <cp:lastModifiedBy>elia mioni</cp:lastModifiedBy>
  <cp:revision>2</cp:revision>
  <dcterms:created xsi:type="dcterms:W3CDTF">2026-04-30T13:47:00Z</dcterms:created>
  <dcterms:modified xsi:type="dcterms:W3CDTF">2026-04-30T13:48:00Z</dcterms:modified>
</cp:coreProperties>
</file>